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55"/>
      </w:tblGrid>
      <w:tr w:rsidR="00395482" w:rsidRPr="00395482" w:rsidTr="00395482">
        <w:trPr>
          <w:tblCellSpacing w:w="15" w:type="dxa"/>
        </w:trPr>
        <w:tc>
          <w:tcPr>
            <w:tcW w:w="0" w:type="auto"/>
            <w:hideMark/>
          </w:tcPr>
          <w:p w:rsidR="00395482" w:rsidRPr="00395482" w:rsidRDefault="00395482" w:rsidP="001C0CE9">
            <w:pPr>
              <w:jc w:val="center"/>
              <w:rPr>
                <w:rFonts w:ascii="Times New Roman" w:hAnsi="Times New Roman" w:cs="Times New Roman"/>
                <w:b/>
                <w:bCs/>
                <w:sz w:val="28"/>
                <w:szCs w:val="28"/>
              </w:rPr>
            </w:pPr>
            <w:r w:rsidRPr="00395482">
              <w:rPr>
                <w:rFonts w:ascii="Times New Roman" w:hAnsi="Times New Roman" w:cs="Times New Roman"/>
                <w:b/>
                <w:bCs/>
                <w:sz w:val="28"/>
                <w:szCs w:val="28"/>
              </w:rPr>
              <w:t>Формирование современной системы управления земельными ресурсами в Казахстане</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Современное земельное законодательство Казахстана устанавливает задачи по управлению земельными ресурсами и регулированию земельных отношений, а также компетенции и правомочия государственных органов в решении этих вопросов. Высшим органом, в компетенцию которого входят вопросы регулирования земельных отношений является Парламент Республики Казахстан.</w:t>
            </w:r>
          </w:p>
          <w:p w:rsid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 xml:space="preserve">При этом основной его задачей является разработка и принятие законодательства, регулирующего земельные отношения, а также устанавливающие компетенции Правительства Республики Казахстан, центрального государственного органа по управлению земельными ресурсами и местных представительных и исполнительных органов в области регулирования земельных отношений и управления земельным фондом. </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Парламент осуществляет регулирование земельных отношений не только через земельное и природоохранное законодательство, но и через все другие виды законодательства, прежде всего гражданский и налоговый кодекс, а также в отдельных случаях путем ратификации международных договоров и соглашений.</w:t>
            </w:r>
          </w:p>
          <w:p w:rsidR="00395482" w:rsidRPr="00395482" w:rsidRDefault="00395482"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Pr="00395482">
              <w:rPr>
                <w:rFonts w:ascii="Times New Roman" w:hAnsi="Times New Roman" w:cs="Times New Roman"/>
                <w:sz w:val="28"/>
                <w:szCs w:val="28"/>
              </w:rPr>
              <w:t>Наряду с Парламентом РК государственное регулирование земельных отношений осуществляют Правительство РК, министерства и ведомства в пределах их компетенций, центральный исполнительный орган по управлению земельными ресурсами - Агентство РК по управлению земельными ресурсами и его территориальные органы, а также местные представительные и исполнительные органы РК (Рисунок 5.).</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В функциональном плане регулирование земельных отношений в РК складывается сейчас в несколько направлений - это правовое и административное, экономическое и землеустроительно-экологическое. Правовое и административное регулирование земельных отношений основывается на разработке и принятии законов, указов, постановлений, нормативов и инструкций, а также включает исполнение их и контроль за правильным выполнением требований законодательства.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65"/>
            </w:tblGrid>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p>
              </w:tc>
            </w:tr>
            <w:tr w:rsidR="00395482" w:rsidRPr="00395482">
              <w:trPr>
                <w:tblCellSpacing w:w="15" w:type="dxa"/>
              </w:trPr>
              <w:tc>
                <w:tcPr>
                  <w:tcW w:w="0" w:type="auto"/>
                  <w:vAlign w:val="center"/>
                  <w:hideMark/>
                </w:tcPr>
                <w:p w:rsidR="00395482" w:rsidRPr="00C706B1" w:rsidRDefault="00395482" w:rsidP="0057750C">
                  <w:pPr>
                    <w:ind w:firstLine="613"/>
                    <w:jc w:val="both"/>
                    <w:rPr>
                      <w:rFonts w:ascii="Times New Roman" w:hAnsi="Times New Roman" w:cs="Times New Roman"/>
                      <w:sz w:val="28"/>
                      <w:szCs w:val="28"/>
                      <w:u w:val="single"/>
                    </w:rPr>
                  </w:pPr>
                  <w:r w:rsidRPr="00C706B1">
                    <w:rPr>
                      <w:rFonts w:ascii="Times New Roman" w:hAnsi="Times New Roman" w:cs="Times New Roman"/>
                      <w:sz w:val="28"/>
                      <w:szCs w:val="28"/>
                      <w:u w:val="single"/>
                    </w:rPr>
                    <w:t>Парламент РК:</w:t>
                  </w:r>
                </w:p>
              </w:tc>
            </w:tr>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Создание законодательно-правовой базы, земельной политики</w:t>
                  </w:r>
                  <w:r w:rsidR="00C706B1">
                    <w:rPr>
                      <w:rFonts w:ascii="Times New Roman" w:hAnsi="Times New Roman" w:cs="Times New Roman"/>
                      <w:sz w:val="28"/>
                      <w:szCs w:val="28"/>
                    </w:rPr>
                    <w:t>.</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C706B1">
                    <w:rPr>
                      <w:rFonts w:ascii="Times New Roman" w:hAnsi="Times New Roman" w:cs="Times New Roman"/>
                      <w:sz w:val="28"/>
                      <w:szCs w:val="28"/>
                      <w:u w:val="single"/>
                    </w:rPr>
                    <w:lastRenderedPageBreak/>
                    <w:t xml:space="preserve">Правительство РК, </w:t>
                  </w:r>
                  <w:r w:rsidRPr="00395482">
                    <w:rPr>
                      <w:rFonts w:ascii="Times New Roman" w:hAnsi="Times New Roman" w:cs="Times New Roman"/>
                      <w:sz w:val="28"/>
                      <w:szCs w:val="28"/>
                    </w:rPr>
                    <w:t xml:space="preserve">министерства, ведомства, в </w:t>
                  </w:r>
                  <w:proofErr w:type="spellStart"/>
                  <w:r w:rsidRPr="00395482">
                    <w:rPr>
                      <w:rFonts w:ascii="Times New Roman" w:hAnsi="Times New Roman" w:cs="Times New Roman"/>
                      <w:sz w:val="28"/>
                      <w:szCs w:val="28"/>
                    </w:rPr>
                    <w:t>т.ч</w:t>
                  </w:r>
                  <w:proofErr w:type="spellEnd"/>
                  <w:r w:rsidRPr="00395482">
                    <w:rPr>
                      <w:rFonts w:ascii="Times New Roman" w:hAnsi="Times New Roman" w:cs="Times New Roman"/>
                      <w:sz w:val="28"/>
                      <w:szCs w:val="28"/>
                    </w:rPr>
                    <w:t>. Агентство по управлению земельными ресурсами РК, местные представительные и исполнительные органы:</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395482">
                    <w:rPr>
                      <w:rFonts w:ascii="Times New Roman" w:hAnsi="Times New Roman" w:cs="Times New Roman"/>
                      <w:sz w:val="28"/>
                      <w:szCs w:val="28"/>
                    </w:rPr>
                    <w:t>Управление и регулирование земельных отношений на основе законодательной и нормативной базы , контроль за соблюдением законодательства, использованием и охраной земель</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C706B1">
                    <w:rPr>
                      <w:rFonts w:ascii="Times New Roman" w:hAnsi="Times New Roman" w:cs="Times New Roman"/>
                      <w:sz w:val="28"/>
                      <w:szCs w:val="28"/>
                      <w:u w:val="single"/>
                    </w:rPr>
                    <w:t>Механизм регулирования</w:t>
                  </w:r>
                  <w:r w:rsidRPr="00395482">
                    <w:rPr>
                      <w:rFonts w:ascii="Times New Roman" w:hAnsi="Times New Roman" w:cs="Times New Roman"/>
                      <w:sz w:val="28"/>
                      <w:szCs w:val="28"/>
                    </w:rPr>
                    <w:t xml:space="preserve"> земельных отношений в РК</w:t>
                  </w:r>
                  <w:r w:rsidR="00C706B1">
                    <w:rPr>
                      <w:rFonts w:ascii="Times New Roman" w:hAnsi="Times New Roman" w:cs="Times New Roman"/>
                      <w:sz w:val="28"/>
                      <w:szCs w:val="28"/>
                    </w:rPr>
                    <w:t>.</w:t>
                  </w:r>
                </w:p>
              </w:tc>
            </w:tr>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Правовой, административный :</w:t>
                  </w:r>
                </w:p>
              </w:tc>
            </w:tr>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Законы, указы, постановления, нормативы, инструкции, акты, решения</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395482">
                    <w:rPr>
                      <w:rFonts w:ascii="Times New Roman" w:hAnsi="Times New Roman" w:cs="Times New Roman"/>
                      <w:sz w:val="28"/>
                      <w:szCs w:val="28"/>
                    </w:rPr>
                    <w:t>Виды собственности, землепользования, аренды, права и обязанности собственников и землепользователей, сервитуты, категории земель, обращение взыскания, изъятие земельного участка, выкуп, конфискация, охрана земель, штрафы, санкции.</w:t>
                  </w:r>
                </w:p>
              </w:tc>
            </w:tr>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Экономический :</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395482">
                    <w:rPr>
                      <w:rFonts w:ascii="Times New Roman" w:hAnsi="Times New Roman" w:cs="Times New Roman"/>
                      <w:sz w:val="28"/>
                      <w:szCs w:val="28"/>
                    </w:rPr>
                    <w:t xml:space="preserve">Платность земли, земельный налог, арендная плата, механизм изъятия ренты, оценка земельных участков, ценовое зонирование, ипотека земли (залог), операции с землей и правом землепользования (купля-продажа, обмен, дарение, наследование, вторичная аренда земельных участков, передача в уставной капитал) </w:t>
                  </w:r>
                </w:p>
              </w:tc>
            </w:tr>
            <w:tr w:rsidR="00395482" w:rsidRPr="00395482">
              <w:trPr>
                <w:tblCellSpacing w:w="15" w:type="dxa"/>
              </w:trPr>
              <w:tc>
                <w:tcPr>
                  <w:tcW w:w="0" w:type="auto"/>
                  <w:vAlign w:val="center"/>
                  <w:hideMark/>
                </w:tcPr>
                <w:p w:rsidR="00395482" w:rsidRPr="00395482" w:rsidRDefault="00395482" w:rsidP="0057750C">
                  <w:pPr>
                    <w:ind w:firstLine="613"/>
                    <w:jc w:val="both"/>
                    <w:rPr>
                      <w:rFonts w:ascii="Times New Roman" w:hAnsi="Times New Roman" w:cs="Times New Roman"/>
                      <w:sz w:val="28"/>
                      <w:szCs w:val="28"/>
                    </w:rPr>
                  </w:pPr>
                  <w:r w:rsidRPr="00395482">
                    <w:rPr>
                      <w:rFonts w:ascii="Times New Roman" w:hAnsi="Times New Roman" w:cs="Times New Roman"/>
                      <w:sz w:val="28"/>
                      <w:szCs w:val="28"/>
                    </w:rPr>
                    <w:t>Землеустроительно-экологический:</w:t>
                  </w:r>
                </w:p>
              </w:tc>
            </w:tr>
            <w:tr w:rsidR="00395482"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Размещение, отвод, установление границ земельных участков, оформление правоустанавливающих документов, земельная регистрация и учет, распределение и перераспределение земель, устройство территории землепользований, инвентаризация и зонирование земель, мониторинг, контроль и охрана земель, рекультивация и восстановление земель, развитие орошения, обводнения, соблюдение агротехники, экспертиза проектов отвода земель для несельскохозяйственных целей.</w:t>
                  </w:r>
                </w:p>
              </w:tc>
            </w:tr>
          </w:tbl>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Рисунок 13. - Организационная структура и механизм</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Государственного регулирования земельных отношений</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xml:space="preserve">Экономический аспект регулирования земельных отношений заключается в выполнении принципа платности землепользования, через земельное налогообложение и арендную плату, оценку земли и ценовое зонирование, позволяющие вести рыночные операции с землей, а также продавать земельные участки государству и право землепользования, развивать </w:t>
            </w:r>
            <w:r w:rsidRPr="00395482">
              <w:rPr>
                <w:rFonts w:ascii="Times New Roman" w:hAnsi="Times New Roman" w:cs="Times New Roman"/>
                <w:sz w:val="28"/>
                <w:szCs w:val="28"/>
              </w:rPr>
              <w:lastRenderedPageBreak/>
              <w:t>ипотечное (залоговое) кредитование крестьянства. Оценка земель и установление порядка изъятия, позволяют вести выкуп и возмещение убытков и ущерба, как землепользователям, так и государству.</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Землеустроительно-экологический аспект регулирования земельных отношений основан на действиях по распределению и перераспределению земельного фонда между категориями, областями, районами, отраслями народного хозяйства, отводу земельных участков, установлению состава и соотношения земельных угодий, учету и земельной регистрации, оформлению право удостоверяющих документов, ведению инвентаризации, мониторинга и охраны земель, рекультивации и восстановлению нарушенных земель, экспертизе проектов по отводу земельных участков для любых целей и т.п.</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В соответствии со ст. 10 закона "О земле" 2001 года ведению Правительства Республики Казахстан в области регулирования земельных отношений подлежат:</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разработка основных направлений и государственных программ по рациональному использованию земель, сохранению и повышению плодородия почв, охране земельных ресурсов в комплексе с другими мероприятиями по охране окружающей среды;</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предоставление и изъятие земельных участков из земель всех категорий в случаях, связанных с созданием и расширением особо охраняемых природных территорий республиканского значения, выполнением международных обязательств и использованием земель для нужд обороны, утверждение порядка отнесения земель к особо охраняемым природным территориям и перечня особо охраняемых природных территорий республиканского и международного значения;</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утверждение форм документов на право собственности на земельный участок и на право землепользования и определение порядка их оформления;</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согласование предложений областных представительных и исполнительных органов по вопросам изменения границ районов и городов областного значения, а также установление и изменение пригородных зон вокруг городов областного значения;</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утверждение порядка проведения землеустройства, ведения государственного земельного кадастра и мониторинга земель, установление порядка осуществления государственного контроля за использованием и охраной земель;</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регулирование земельных отношений между областями и иные вопросы.</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lastRenderedPageBreak/>
              <w:t>Анализ установленных законом компетенций Правительства по регулированию земельных отношений показывает, что в основном они охватывают наиболее важные вопросы, соответствуют требованиям уровня органа управления, а также незначительно, отличаются от формулировок этой статьи в Указе Президента "О земле" 1995 года. Исключение составляют п.6 и 7 ст.10 Указа, в которых в компетенции Правительства входит установление ставок платы за передачу земельных участков, предоставляемых в землепользование государством или государственными землепользователями и установление порядка определения оценочной стоимости права землепользования.</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Эти пункты в законе "О земле" 2001 года отсутствуют, хотя в п.6 ст.8 (Платежи за землю) говорится, что базовые ставки платы за земельные участки при их предоставлении на возмездной основе в частную собственность, а также при сдаче государством или государственными землепользователями в аренду устанавливаются Правительством Республики Казахстан.</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Очевидно, что эти функции должны входить в кру</w:t>
            </w:r>
            <w:r w:rsidR="005479B8">
              <w:rPr>
                <w:rFonts w:ascii="Times New Roman" w:hAnsi="Times New Roman" w:cs="Times New Roman"/>
                <w:sz w:val="28"/>
                <w:szCs w:val="28"/>
              </w:rPr>
              <w:t>г компетенций Правительства,</w:t>
            </w:r>
            <w:r w:rsidRPr="00395482">
              <w:rPr>
                <w:rFonts w:ascii="Times New Roman" w:hAnsi="Times New Roman" w:cs="Times New Roman"/>
                <w:sz w:val="28"/>
                <w:szCs w:val="28"/>
              </w:rPr>
              <w:t xml:space="preserve"> как и сами базовые ставки и порядок определения оценочной стоимости земельных участков и права землепользования могут периодически меняться и уточняться. Кроме того, Правительство утверждает положение о Центральном исполнительном органе (Агентство) по управлению земельными ресурсами и его органах на местах, которые непосредственно ведут работу. Рассмотрим в сравнительном аспекте компетенции местных исполнительных органов власти по управлению земельными ресурсами в Казахстане. (таблица 8.) Анализ компетенций местных исполнительных органов показывает, что в законе "О земле" 2001 года расширены полномочия областных </w:t>
            </w:r>
            <w:proofErr w:type="spellStart"/>
            <w:r w:rsidRPr="00395482">
              <w:rPr>
                <w:rFonts w:ascii="Times New Roman" w:hAnsi="Times New Roman" w:cs="Times New Roman"/>
                <w:sz w:val="28"/>
                <w:szCs w:val="28"/>
              </w:rPr>
              <w:t>акиматов</w:t>
            </w:r>
            <w:proofErr w:type="spellEnd"/>
            <w:r w:rsidRPr="00395482">
              <w:rPr>
                <w:rFonts w:ascii="Times New Roman" w:hAnsi="Times New Roman" w:cs="Times New Roman"/>
                <w:sz w:val="28"/>
                <w:szCs w:val="28"/>
              </w:rPr>
              <w:t xml:space="preserve"> по управлению земельными ресурсами.</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b/>
                <w:bCs/>
                <w:sz w:val="28"/>
                <w:szCs w:val="28"/>
              </w:rPr>
              <w:t>Таблица 8.</w:t>
            </w:r>
            <w:r w:rsidRPr="00395482">
              <w:rPr>
                <w:rFonts w:ascii="Times New Roman" w:hAnsi="Times New Roman" w:cs="Times New Roman"/>
                <w:sz w:val="28"/>
                <w:szCs w:val="28"/>
              </w:rPr>
              <w:t xml:space="preserve"> - Сравнительный анализ компетенций местных исполнительных органов по управлению земельными ресурсами по Закону "О земле" 2001года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54"/>
              <w:gridCol w:w="2211"/>
            </w:tblGrid>
            <w:tr w:rsidR="00607404" w:rsidRPr="00395482">
              <w:trPr>
                <w:gridAfter w:val="1"/>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p>
              </w:tc>
              <w:tc>
                <w:tcPr>
                  <w:tcW w:w="0" w:type="auto"/>
                  <w:vAlign w:val="center"/>
                  <w:hideMark/>
                </w:tcPr>
                <w:p w:rsidR="001C0CE9" w:rsidRDefault="001C0CE9" w:rsidP="001C0CE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Местные</w:t>
                  </w:r>
                  <w:r>
                    <w:rPr>
                      <w:rFonts w:ascii="Times New Roman" w:hAnsi="Times New Roman" w:cs="Times New Roman"/>
                      <w:sz w:val="28"/>
                      <w:szCs w:val="28"/>
                    </w:rPr>
                    <w:t xml:space="preserve"> </w:t>
                  </w:r>
                </w:p>
                <w:p w:rsidR="001C0CE9" w:rsidRDefault="001C0CE9" w:rsidP="001C0CE9">
                  <w:pPr>
                    <w:jc w:val="both"/>
                    <w:rPr>
                      <w:rFonts w:ascii="Times New Roman" w:hAnsi="Times New Roman" w:cs="Times New Roman"/>
                      <w:sz w:val="28"/>
                      <w:szCs w:val="28"/>
                    </w:rPr>
                  </w:pPr>
                  <w:r>
                    <w:rPr>
                      <w:rFonts w:ascii="Times New Roman" w:hAnsi="Times New Roman" w:cs="Times New Roman"/>
                      <w:sz w:val="28"/>
                      <w:szCs w:val="28"/>
                    </w:rPr>
                    <w:t xml:space="preserve">        исполнительные</w:t>
                  </w:r>
                </w:p>
                <w:p w:rsidR="00395482" w:rsidRPr="00395482" w:rsidRDefault="001C0CE9" w:rsidP="001C0CE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органы</w:t>
                  </w:r>
                  <w:r w:rsidR="00A43889">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lastRenderedPageBreak/>
                    <w:t>1. Разработка областных (районных) программ по рациональному использованию земель, повышению плодородия почв, охране земельных ресурсов.</w:t>
                  </w:r>
                </w:p>
              </w:tc>
              <w:tc>
                <w:tcPr>
                  <w:tcW w:w="0" w:type="auto"/>
                  <w:vAlign w:val="center"/>
                  <w:hideMark/>
                </w:tcPr>
                <w:p w:rsidR="001C0CE9" w:rsidRDefault="001C0CE9" w:rsidP="001C0CE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Областные,</w:t>
                  </w:r>
                  <w:r>
                    <w:rPr>
                      <w:rFonts w:ascii="Times New Roman" w:hAnsi="Times New Roman" w:cs="Times New Roman"/>
                      <w:sz w:val="28"/>
                      <w:szCs w:val="28"/>
                    </w:rPr>
                    <w:t xml:space="preserve"> </w:t>
                  </w:r>
                </w:p>
                <w:p w:rsidR="001C0CE9" w:rsidRDefault="001C0CE9" w:rsidP="001C0CE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районные </w:t>
                  </w:r>
                </w:p>
                <w:p w:rsidR="00395482" w:rsidRPr="00395482" w:rsidRDefault="001C0CE9" w:rsidP="00A4388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(городские).</w:t>
                  </w: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2. Выдача разрешений на занятие земельных участков для проведения изыскательских работ</w:t>
                  </w:r>
                </w:p>
              </w:tc>
              <w:tc>
                <w:tcPr>
                  <w:tcW w:w="0" w:type="auto"/>
                  <w:vAlign w:val="center"/>
                  <w:hideMark/>
                </w:tcPr>
                <w:p w:rsidR="00A43889" w:rsidRDefault="001C0CE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Областные,</w:t>
                  </w:r>
                  <w:r w:rsidR="00A43889">
                    <w:rPr>
                      <w:rFonts w:ascii="Times New Roman" w:hAnsi="Times New Roman" w:cs="Times New Roman"/>
                      <w:sz w:val="28"/>
                      <w:szCs w:val="28"/>
                    </w:rPr>
                    <w:t xml:space="preserve"> </w:t>
                  </w:r>
                </w:p>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районные </w:t>
                  </w:r>
                  <w:r>
                    <w:rPr>
                      <w:rFonts w:ascii="Times New Roman" w:hAnsi="Times New Roman" w:cs="Times New Roman"/>
                      <w:sz w:val="28"/>
                      <w:szCs w:val="28"/>
                    </w:rPr>
                    <w:t xml:space="preserve"> </w:t>
                  </w:r>
                </w:p>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(городские),</w:t>
                  </w:r>
                </w:p>
                <w:p w:rsidR="00A43889"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xml:space="preserve"> </w:t>
                  </w:r>
                  <w:r w:rsidR="00A43889">
                    <w:rPr>
                      <w:rFonts w:ascii="Times New Roman" w:hAnsi="Times New Roman" w:cs="Times New Roman"/>
                      <w:sz w:val="28"/>
                      <w:szCs w:val="28"/>
                    </w:rPr>
                    <w:t xml:space="preserve">       </w:t>
                  </w:r>
                  <w:r w:rsidRPr="00395482">
                    <w:rPr>
                      <w:rFonts w:ascii="Times New Roman" w:hAnsi="Times New Roman" w:cs="Times New Roman"/>
                      <w:sz w:val="28"/>
                      <w:szCs w:val="28"/>
                    </w:rPr>
                    <w:t>поселковые,</w:t>
                  </w:r>
                </w:p>
                <w:p w:rsidR="00607404" w:rsidRDefault="00A43889"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w:t>
                  </w:r>
                  <w:r>
                    <w:rPr>
                      <w:rFonts w:ascii="Times New Roman" w:hAnsi="Times New Roman" w:cs="Times New Roman"/>
                      <w:sz w:val="28"/>
                      <w:szCs w:val="28"/>
                    </w:rPr>
                    <w:t xml:space="preserve">  </w:t>
                  </w:r>
                  <w:r w:rsidR="00395482" w:rsidRPr="00395482">
                    <w:rPr>
                      <w:rFonts w:ascii="Times New Roman" w:hAnsi="Times New Roman" w:cs="Times New Roman"/>
                      <w:sz w:val="28"/>
                      <w:szCs w:val="28"/>
                    </w:rPr>
                    <w:t>аульные</w:t>
                  </w:r>
                  <w:r w:rsidR="00607404">
                    <w:rPr>
                      <w:rFonts w:ascii="Times New Roman" w:hAnsi="Times New Roman" w:cs="Times New Roman"/>
                      <w:sz w:val="28"/>
                      <w:szCs w:val="28"/>
                    </w:rPr>
                    <w:t xml:space="preserve"> и</w:t>
                  </w:r>
                </w:p>
                <w:p w:rsidR="00395482" w:rsidRPr="00395482"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сельские</w:t>
                  </w:r>
                  <w:r w:rsidR="00A43889">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1C0CE9" w:rsidP="0057750C">
                  <w:pPr>
                    <w:jc w:val="both"/>
                    <w:rPr>
                      <w:rFonts w:ascii="Times New Roman" w:hAnsi="Times New Roman" w:cs="Times New Roman"/>
                      <w:sz w:val="28"/>
                      <w:szCs w:val="28"/>
                    </w:rPr>
                  </w:pPr>
                  <w:r>
                    <w:rPr>
                      <w:rFonts w:ascii="Times New Roman" w:hAnsi="Times New Roman" w:cs="Times New Roman"/>
                      <w:sz w:val="28"/>
                      <w:szCs w:val="28"/>
                    </w:rPr>
                    <w:t>3. П</w:t>
                  </w:r>
                  <w:r w:rsidR="00395482" w:rsidRPr="00395482">
                    <w:rPr>
                      <w:rFonts w:ascii="Times New Roman" w:hAnsi="Times New Roman" w:cs="Times New Roman"/>
                      <w:sz w:val="28"/>
                      <w:szCs w:val="28"/>
                    </w:rPr>
                    <w:t>редоставление земельных участков под скотопрогонные трассы.</w:t>
                  </w:r>
                </w:p>
              </w:tc>
              <w:tc>
                <w:tcPr>
                  <w:tcW w:w="0" w:type="auto"/>
                  <w:vAlign w:val="center"/>
                  <w:hideMark/>
                </w:tcPr>
                <w:p w:rsidR="00395482" w:rsidRPr="00395482"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О</w:t>
                  </w:r>
                  <w:r w:rsidR="00395482" w:rsidRPr="00395482">
                    <w:rPr>
                      <w:rFonts w:ascii="Times New Roman" w:hAnsi="Times New Roman" w:cs="Times New Roman"/>
                      <w:sz w:val="28"/>
                      <w:szCs w:val="28"/>
                    </w:rPr>
                    <w:t>бластные</w:t>
                  </w:r>
                  <w:r>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1C0CE9" w:rsidP="0057750C">
                  <w:pPr>
                    <w:jc w:val="both"/>
                    <w:rPr>
                      <w:rFonts w:ascii="Times New Roman" w:hAnsi="Times New Roman" w:cs="Times New Roman"/>
                      <w:sz w:val="28"/>
                      <w:szCs w:val="28"/>
                    </w:rPr>
                  </w:pPr>
                  <w:r>
                    <w:rPr>
                      <w:rFonts w:ascii="Times New Roman" w:hAnsi="Times New Roman" w:cs="Times New Roman"/>
                      <w:sz w:val="28"/>
                      <w:szCs w:val="28"/>
                    </w:rPr>
                    <w:t>4. П</w:t>
                  </w:r>
                  <w:r w:rsidR="00395482" w:rsidRPr="00395482">
                    <w:rPr>
                      <w:rFonts w:ascii="Times New Roman" w:hAnsi="Times New Roman" w:cs="Times New Roman"/>
                      <w:sz w:val="28"/>
                      <w:szCs w:val="28"/>
                    </w:rPr>
                    <w:t>редоставление земельных участков государственным сельскохозяйственным НИИ, учхозам, ОПХ и др.</w:t>
                  </w:r>
                </w:p>
              </w:tc>
              <w:tc>
                <w:tcPr>
                  <w:tcW w:w="0" w:type="auto"/>
                  <w:vAlign w:val="center"/>
                  <w:hideMark/>
                </w:tcPr>
                <w:p w:rsidR="00395482" w:rsidRPr="00395482"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О</w:t>
                  </w:r>
                  <w:r w:rsidR="00395482" w:rsidRPr="00395482">
                    <w:rPr>
                      <w:rFonts w:ascii="Times New Roman" w:hAnsi="Times New Roman" w:cs="Times New Roman"/>
                      <w:sz w:val="28"/>
                      <w:szCs w:val="28"/>
                    </w:rPr>
                    <w:t>бластные</w:t>
                  </w:r>
                  <w:r w:rsidR="00607404">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1C0CE9" w:rsidP="0057750C">
                  <w:pPr>
                    <w:jc w:val="both"/>
                    <w:rPr>
                      <w:rFonts w:ascii="Times New Roman" w:hAnsi="Times New Roman" w:cs="Times New Roman"/>
                      <w:sz w:val="28"/>
                      <w:szCs w:val="28"/>
                    </w:rPr>
                  </w:pPr>
                  <w:r>
                    <w:rPr>
                      <w:rFonts w:ascii="Times New Roman" w:hAnsi="Times New Roman" w:cs="Times New Roman"/>
                      <w:sz w:val="28"/>
                      <w:szCs w:val="28"/>
                    </w:rPr>
                    <w:t>5. Р</w:t>
                  </w:r>
                  <w:r w:rsidR="00395482" w:rsidRPr="00395482">
                    <w:rPr>
                      <w:rFonts w:ascii="Times New Roman" w:hAnsi="Times New Roman" w:cs="Times New Roman"/>
                      <w:sz w:val="28"/>
                      <w:szCs w:val="28"/>
                    </w:rPr>
                    <w:t>езервирование земель для создания особо охраняемых территорий всех видов.</w:t>
                  </w:r>
                </w:p>
              </w:tc>
              <w:tc>
                <w:tcPr>
                  <w:tcW w:w="0" w:type="auto"/>
                  <w:vAlign w:val="center"/>
                  <w:hideMark/>
                </w:tcPr>
                <w:p w:rsidR="00395482" w:rsidRPr="00395482"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О</w:t>
                  </w:r>
                  <w:r w:rsidR="00395482" w:rsidRPr="00395482">
                    <w:rPr>
                      <w:rFonts w:ascii="Times New Roman" w:hAnsi="Times New Roman" w:cs="Times New Roman"/>
                      <w:sz w:val="28"/>
                      <w:szCs w:val="28"/>
                    </w:rPr>
                    <w:t>бластные</w:t>
                  </w:r>
                  <w:r w:rsidR="00607404">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1C0CE9" w:rsidP="0057750C">
                  <w:pPr>
                    <w:jc w:val="both"/>
                    <w:rPr>
                      <w:rFonts w:ascii="Times New Roman" w:hAnsi="Times New Roman" w:cs="Times New Roman"/>
                      <w:sz w:val="28"/>
                      <w:szCs w:val="28"/>
                    </w:rPr>
                  </w:pPr>
                  <w:r>
                    <w:rPr>
                      <w:rFonts w:ascii="Times New Roman" w:hAnsi="Times New Roman" w:cs="Times New Roman"/>
                      <w:sz w:val="28"/>
                      <w:szCs w:val="28"/>
                    </w:rPr>
                    <w:t>6. Р</w:t>
                  </w:r>
                  <w:r w:rsidR="00395482" w:rsidRPr="00395482">
                    <w:rPr>
                      <w:rFonts w:ascii="Times New Roman" w:hAnsi="Times New Roman" w:cs="Times New Roman"/>
                      <w:sz w:val="28"/>
                      <w:szCs w:val="28"/>
                    </w:rPr>
                    <w:t>егулирование земельных отношений между районами.</w:t>
                  </w:r>
                </w:p>
              </w:tc>
              <w:tc>
                <w:tcPr>
                  <w:tcW w:w="0" w:type="auto"/>
                  <w:vAlign w:val="center"/>
                  <w:hideMark/>
                </w:tcPr>
                <w:p w:rsidR="00395482" w:rsidRPr="00395482"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О</w:t>
                  </w:r>
                  <w:r w:rsidR="00395482" w:rsidRPr="00395482">
                    <w:rPr>
                      <w:rFonts w:ascii="Times New Roman" w:hAnsi="Times New Roman" w:cs="Times New Roman"/>
                      <w:sz w:val="28"/>
                      <w:szCs w:val="28"/>
                    </w:rPr>
                    <w:t>бластные</w:t>
                  </w:r>
                  <w:r w:rsidR="00607404">
                    <w:rPr>
                      <w:rFonts w:ascii="Times New Roman" w:hAnsi="Times New Roman" w:cs="Times New Roman"/>
                      <w:sz w:val="28"/>
                      <w:szCs w:val="28"/>
                    </w:rPr>
                    <w:t>.</w:t>
                  </w:r>
                </w:p>
              </w:tc>
            </w:tr>
            <w:tr w:rsidR="00607404" w:rsidRPr="00395482">
              <w:trPr>
                <w:tblCellSpacing w:w="15" w:type="dxa"/>
              </w:trPr>
              <w:tc>
                <w:tcPr>
                  <w:tcW w:w="0" w:type="auto"/>
                  <w:vAlign w:val="center"/>
                  <w:hideMark/>
                </w:tcPr>
                <w:p w:rsidR="00607404"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xml:space="preserve">7. </w:t>
                  </w:r>
                  <w:r w:rsidR="00607404">
                    <w:rPr>
                      <w:rFonts w:ascii="Times New Roman" w:hAnsi="Times New Roman" w:cs="Times New Roman"/>
                      <w:sz w:val="28"/>
                      <w:szCs w:val="28"/>
                    </w:rPr>
                    <w:t>Р</w:t>
                  </w:r>
                  <w:r w:rsidRPr="00395482">
                    <w:rPr>
                      <w:rFonts w:ascii="Times New Roman" w:hAnsi="Times New Roman" w:cs="Times New Roman"/>
                      <w:sz w:val="28"/>
                      <w:szCs w:val="28"/>
                    </w:rPr>
                    <w:t>азработка планов земельно-</w:t>
                  </w:r>
                </w:p>
                <w:p w:rsidR="00607404"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xml:space="preserve">хозяйственного устройства территории </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населенного пунктов.</w:t>
                  </w:r>
                </w:p>
              </w:tc>
              <w:tc>
                <w:tcPr>
                  <w:tcW w:w="0" w:type="auto"/>
                  <w:vAlign w:val="center"/>
                  <w:hideMark/>
                </w:tcPr>
                <w:p w:rsidR="00A43889"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Районные, </w:t>
                  </w:r>
                </w:p>
                <w:p w:rsidR="00A43889"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городские,</w:t>
                  </w:r>
                </w:p>
                <w:p w:rsidR="00A43889" w:rsidRDefault="00A43889" w:rsidP="00A43889">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поселковые,</w:t>
                  </w:r>
                </w:p>
                <w:p w:rsidR="00607404"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аульные</w:t>
                  </w:r>
                </w:p>
                <w:p w:rsidR="00395482" w:rsidRPr="00395482"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A43889">
                    <w:rPr>
                      <w:rFonts w:ascii="Times New Roman" w:hAnsi="Times New Roman" w:cs="Times New Roman"/>
                      <w:sz w:val="28"/>
                      <w:szCs w:val="28"/>
                    </w:rPr>
                    <w:t>и</w:t>
                  </w: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сельские. </w:t>
                  </w: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 xml:space="preserve">8. образование и использование </w:t>
                  </w:r>
                  <w:r w:rsidR="005479B8" w:rsidRPr="00395482">
                    <w:rPr>
                      <w:rFonts w:ascii="Times New Roman" w:hAnsi="Times New Roman" w:cs="Times New Roman"/>
                      <w:sz w:val="28"/>
                      <w:szCs w:val="28"/>
                    </w:rPr>
                    <w:t>спец земфонда</w:t>
                  </w:r>
                  <w:r w:rsidRPr="00395482">
                    <w:rPr>
                      <w:rFonts w:ascii="Times New Roman" w:hAnsi="Times New Roman" w:cs="Times New Roman"/>
                      <w:sz w:val="28"/>
                      <w:szCs w:val="28"/>
                    </w:rPr>
                    <w:t xml:space="preserve"> района</w:t>
                  </w:r>
                </w:p>
              </w:tc>
              <w:tc>
                <w:tcPr>
                  <w:tcW w:w="0" w:type="auto"/>
                  <w:vAlign w:val="center"/>
                  <w:hideMark/>
                </w:tcPr>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Районные,</w:t>
                  </w:r>
                </w:p>
                <w:p w:rsidR="00395482" w:rsidRPr="00395482" w:rsidRDefault="00A43889"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Pr="00395482">
                    <w:rPr>
                      <w:rFonts w:ascii="Times New Roman" w:hAnsi="Times New Roman" w:cs="Times New Roman"/>
                      <w:sz w:val="28"/>
                      <w:szCs w:val="28"/>
                    </w:rPr>
                    <w:t>Г</w:t>
                  </w:r>
                  <w:r w:rsidR="00395482" w:rsidRPr="00395482">
                    <w:rPr>
                      <w:rFonts w:ascii="Times New Roman" w:hAnsi="Times New Roman" w:cs="Times New Roman"/>
                      <w:sz w:val="28"/>
                      <w:szCs w:val="28"/>
                    </w:rPr>
                    <w:t>ородские</w:t>
                  </w:r>
                  <w:r>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9. предоставление земельных участков в частную собственность и землепользование.</w:t>
                  </w:r>
                </w:p>
              </w:tc>
              <w:tc>
                <w:tcPr>
                  <w:tcW w:w="0" w:type="auto"/>
                  <w:vAlign w:val="center"/>
                  <w:hideMark/>
                </w:tcPr>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Районные,</w:t>
                  </w:r>
                </w:p>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w:t>
                  </w:r>
                  <w:r>
                    <w:rPr>
                      <w:rFonts w:ascii="Times New Roman" w:hAnsi="Times New Roman" w:cs="Times New Roman"/>
                      <w:sz w:val="28"/>
                      <w:szCs w:val="28"/>
                    </w:rPr>
                    <w:t xml:space="preserve">  </w:t>
                  </w:r>
                  <w:r w:rsidR="00395482" w:rsidRPr="00395482">
                    <w:rPr>
                      <w:rFonts w:ascii="Times New Roman" w:hAnsi="Times New Roman" w:cs="Times New Roman"/>
                      <w:sz w:val="28"/>
                      <w:szCs w:val="28"/>
                    </w:rPr>
                    <w:t>городские,</w:t>
                  </w:r>
                </w:p>
                <w:p w:rsidR="00A43889"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поселковые,</w:t>
                  </w:r>
                </w:p>
                <w:p w:rsidR="00607404" w:rsidRDefault="00A43889"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w:t>
                  </w:r>
                  <w:r>
                    <w:rPr>
                      <w:rFonts w:ascii="Times New Roman" w:hAnsi="Times New Roman" w:cs="Times New Roman"/>
                      <w:sz w:val="28"/>
                      <w:szCs w:val="28"/>
                    </w:rPr>
                    <w:t xml:space="preserve">  </w:t>
                  </w:r>
                  <w:r w:rsidR="00607404">
                    <w:rPr>
                      <w:rFonts w:ascii="Times New Roman" w:hAnsi="Times New Roman" w:cs="Times New Roman"/>
                      <w:sz w:val="28"/>
                      <w:szCs w:val="28"/>
                    </w:rPr>
                    <w:t xml:space="preserve"> аульные </w:t>
                  </w:r>
                  <w:r w:rsidR="00395482" w:rsidRPr="00395482">
                    <w:rPr>
                      <w:rFonts w:ascii="Times New Roman" w:hAnsi="Times New Roman" w:cs="Times New Roman"/>
                      <w:sz w:val="28"/>
                      <w:szCs w:val="28"/>
                    </w:rPr>
                    <w:t>и</w:t>
                  </w:r>
                </w:p>
                <w:p w:rsidR="00395482"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сельские</w:t>
                  </w:r>
                  <w:r>
                    <w:rPr>
                      <w:rFonts w:ascii="Times New Roman" w:hAnsi="Times New Roman" w:cs="Times New Roman"/>
                      <w:sz w:val="28"/>
                      <w:szCs w:val="28"/>
                    </w:rPr>
                    <w:t>.</w:t>
                  </w:r>
                </w:p>
                <w:p w:rsidR="00A43889" w:rsidRPr="00395482" w:rsidRDefault="00A43889" w:rsidP="0057750C">
                  <w:pPr>
                    <w:jc w:val="both"/>
                    <w:rPr>
                      <w:rFonts w:ascii="Times New Roman" w:hAnsi="Times New Roman" w:cs="Times New Roman"/>
                      <w:sz w:val="28"/>
                      <w:szCs w:val="28"/>
                    </w:rPr>
                  </w:pP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lastRenderedPageBreak/>
                    <w:t>13. изъятие, выкуп земель для государственных надобностей.</w:t>
                  </w:r>
                </w:p>
              </w:tc>
              <w:tc>
                <w:tcPr>
                  <w:tcW w:w="0" w:type="auto"/>
                  <w:vAlign w:val="center"/>
                  <w:hideMark/>
                </w:tcPr>
                <w:p w:rsidR="00607404"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Районные,</w:t>
                  </w:r>
                </w:p>
                <w:p w:rsidR="00607404"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городские, </w:t>
                  </w:r>
                </w:p>
                <w:p w:rsidR="00607404"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п</w:t>
                  </w:r>
                  <w:r w:rsidR="00395482" w:rsidRPr="00395482">
                    <w:rPr>
                      <w:rFonts w:ascii="Times New Roman" w:hAnsi="Times New Roman" w:cs="Times New Roman"/>
                      <w:sz w:val="28"/>
                      <w:szCs w:val="28"/>
                    </w:rPr>
                    <w:t>оселковые,</w:t>
                  </w:r>
                </w:p>
                <w:p w:rsidR="00607404"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аульные</w:t>
                  </w:r>
                </w:p>
                <w:p w:rsidR="00395482" w:rsidRPr="00395482" w:rsidRDefault="00607404" w:rsidP="00607404">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и сельские</w:t>
                  </w:r>
                  <w:r>
                    <w:rPr>
                      <w:rFonts w:ascii="Times New Roman" w:hAnsi="Times New Roman" w:cs="Times New Roman"/>
                      <w:sz w:val="28"/>
                      <w:szCs w:val="28"/>
                    </w:rPr>
                    <w:t>.</w:t>
                  </w:r>
                </w:p>
              </w:tc>
            </w:tr>
            <w:tr w:rsidR="00607404" w:rsidRPr="00395482">
              <w:trPr>
                <w:tblCellSpacing w:w="15" w:type="dxa"/>
              </w:trPr>
              <w:tc>
                <w:tcPr>
                  <w:tcW w:w="0" w:type="auto"/>
                  <w:vAlign w:val="center"/>
                  <w:hideMark/>
                </w:tcPr>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t>15. осуществление контроля за использованием и охраной земель.</w:t>
                  </w:r>
                </w:p>
              </w:tc>
              <w:tc>
                <w:tcPr>
                  <w:tcW w:w="0" w:type="auto"/>
                  <w:vAlign w:val="center"/>
                  <w:hideMark/>
                </w:tcPr>
                <w:p w:rsidR="00607404"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Районные,</w:t>
                  </w:r>
                </w:p>
                <w:p w:rsidR="00607404"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Г</w:t>
                  </w:r>
                  <w:r w:rsidR="00395482" w:rsidRPr="00395482">
                    <w:rPr>
                      <w:rFonts w:ascii="Times New Roman" w:hAnsi="Times New Roman" w:cs="Times New Roman"/>
                      <w:sz w:val="28"/>
                      <w:szCs w:val="28"/>
                    </w:rPr>
                    <w:t>ородские,</w:t>
                  </w:r>
                </w:p>
                <w:p w:rsidR="00607404"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w:t>
                  </w: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поселковые, </w:t>
                  </w:r>
                </w:p>
                <w:p w:rsidR="00607404"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а</w:t>
                  </w:r>
                  <w:r w:rsidR="00395482" w:rsidRPr="00395482">
                    <w:rPr>
                      <w:rFonts w:ascii="Times New Roman" w:hAnsi="Times New Roman" w:cs="Times New Roman"/>
                      <w:sz w:val="28"/>
                      <w:szCs w:val="28"/>
                    </w:rPr>
                    <w:t>ульные</w:t>
                  </w:r>
                </w:p>
                <w:p w:rsidR="00395482" w:rsidRPr="00395482" w:rsidRDefault="00607404" w:rsidP="0057750C">
                  <w:pPr>
                    <w:jc w:val="both"/>
                    <w:rPr>
                      <w:rFonts w:ascii="Times New Roman" w:hAnsi="Times New Roman" w:cs="Times New Roman"/>
                      <w:sz w:val="28"/>
                      <w:szCs w:val="28"/>
                    </w:rPr>
                  </w:pPr>
                  <w:r>
                    <w:rPr>
                      <w:rFonts w:ascii="Times New Roman" w:hAnsi="Times New Roman" w:cs="Times New Roman"/>
                      <w:sz w:val="28"/>
                      <w:szCs w:val="28"/>
                    </w:rPr>
                    <w:t xml:space="preserve">      </w:t>
                  </w:r>
                  <w:r w:rsidR="00395482" w:rsidRPr="00395482">
                    <w:rPr>
                      <w:rFonts w:ascii="Times New Roman" w:hAnsi="Times New Roman" w:cs="Times New Roman"/>
                      <w:sz w:val="28"/>
                      <w:szCs w:val="28"/>
                    </w:rPr>
                    <w:t xml:space="preserve"> и сельские</w:t>
                  </w:r>
                  <w:r w:rsidR="007E5433">
                    <w:rPr>
                      <w:rFonts w:ascii="Times New Roman" w:hAnsi="Times New Roman" w:cs="Times New Roman"/>
                      <w:sz w:val="28"/>
                      <w:szCs w:val="28"/>
                    </w:rPr>
                    <w:t>.</w:t>
                  </w:r>
                </w:p>
              </w:tc>
            </w:tr>
          </w:tbl>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Так, в сравнении с нормами Указа "О земле" 1995 года добавлены ряд полномочий: это пункты 6 и 7 таблицы 17., в то же время выведен, пункт 1., ст.12 Указа (проведение землеустройства, ведение земельного кадастра и мониторинга земель в пределах области), что можно было сохранить, так как несмотря на то, что это прямая функция Агентства по управлению земельными органами и его территориальных органов и входит в их компетенцию, часть этих работ может финансироваться из местного бюджета, что несомненно способствовало бы улучшению использования и охраны земель.</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Значительно расширены полномочия районных, городских, поселковых, аульных и сельских исполнительных органов по управлению земельными ресурсами. В то же время, возможности по осуществлению этих функций ими в законе на наш взгляд, учтены недостаточно. Так, компетенция таких местных исполнительных органов как поселковые, аульные (сельские) по таким пунктам как: - выдача разрешений на занятие земельных участков для проведения изыскательских работ; - предоставление земельных участков в частную собственность и землепользование; - изъятие и выкуп земель для государственных надобностей; нам представляется излишней, было бы правильнее оставить решение их в компетенции районных и городских исполнительных органов (</w:t>
            </w:r>
            <w:proofErr w:type="spellStart"/>
            <w:r w:rsidRPr="00395482">
              <w:rPr>
                <w:rFonts w:ascii="Times New Roman" w:hAnsi="Times New Roman" w:cs="Times New Roman"/>
                <w:sz w:val="28"/>
                <w:szCs w:val="28"/>
              </w:rPr>
              <w:t>акиматов</w:t>
            </w:r>
            <w:proofErr w:type="spellEnd"/>
            <w:r w:rsidRPr="00395482">
              <w:rPr>
                <w:rFonts w:ascii="Times New Roman" w:hAnsi="Times New Roman" w:cs="Times New Roman"/>
                <w:sz w:val="28"/>
                <w:szCs w:val="28"/>
              </w:rPr>
              <w:t>), а за органами более низкого уровня оставить согласование и подготовку вопросов.</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 xml:space="preserve">Впервые, в земельном законодательстве, расширены полномочия местных представительных органов - они утверждают программы (областные, районные, городские) по рациональному использованию и </w:t>
            </w:r>
            <w:r w:rsidRPr="00395482">
              <w:rPr>
                <w:rFonts w:ascii="Times New Roman" w:hAnsi="Times New Roman" w:cs="Times New Roman"/>
                <w:sz w:val="28"/>
                <w:szCs w:val="28"/>
              </w:rPr>
              <w:lastRenderedPageBreak/>
              <w:t>охране земель, планы земельнохозяйственного устройства населенных пунктов, а также бюджеты расходов на эти мероприятия, могут заслушивать отчеты руководителей местных исполнительных органов и организаций о состоянии использования и охраны земель.</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В управлении земельными ресурсами в той или иной мере принимают участие многие министерства и ведомства республики. Так, Министерство сельского хозяйства, подведомственные ему комитеты и их территориальные органы осуществляют государственные функции управления по отношению к субъектам земельных правоотношений, поэтому само Министерство сельского хозяйства, его комитет по водным ресурсам и их органы, должны осуществлять такие функции как - разработка и осуществление государственных программ рационального использования и охраны земель, повышения плодородия почв, ведения мелиорации и водохозяйственного строительства и орошения земель, проводить работу по контролю использования и охраны земель на местах.</w:t>
            </w:r>
          </w:p>
          <w:p w:rsidR="00395482" w:rsidRP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Рисунок 14. - Структура государственных органов управления земельными ресурсами РК</w:t>
            </w:r>
          </w:p>
          <w:p w:rsidR="00395482"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noProof/>
                <w:sz w:val="28"/>
                <w:szCs w:val="28"/>
                <w:lang w:eastAsia="ru-RU"/>
              </w:rPr>
              <w:drawing>
                <wp:inline distT="0" distB="0" distL="0" distR="0">
                  <wp:extent cx="2712720" cy="1219200"/>
                  <wp:effectExtent l="0" t="0" r="0" b="0"/>
                  <wp:docPr id="1" name="Рисунок 1" descr="https://studbooks.net/imag_/19/5072/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books.net/imag_/19/5072/image01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12720" cy="1219200"/>
                          </a:xfrm>
                          <a:prstGeom prst="rect">
                            <a:avLst/>
                          </a:prstGeom>
                          <a:noFill/>
                          <a:ln>
                            <a:noFill/>
                          </a:ln>
                        </pic:spPr>
                      </pic:pic>
                    </a:graphicData>
                  </a:graphic>
                </wp:inline>
              </w:drawing>
            </w:r>
          </w:p>
          <w:p w:rsidR="00395482" w:rsidRDefault="00395482" w:rsidP="0057750C">
            <w:pPr>
              <w:ind w:firstLine="519"/>
              <w:jc w:val="both"/>
              <w:rPr>
                <w:rFonts w:ascii="Times New Roman" w:hAnsi="Times New Roman" w:cs="Times New Roman"/>
                <w:sz w:val="28"/>
                <w:szCs w:val="28"/>
              </w:rPr>
            </w:pPr>
            <w:r w:rsidRPr="00395482">
              <w:rPr>
                <w:rFonts w:ascii="Times New Roman" w:hAnsi="Times New Roman" w:cs="Times New Roman"/>
                <w:sz w:val="28"/>
                <w:szCs w:val="28"/>
              </w:rPr>
              <w:t>То же относится и к Национальному аграрному центру аграрных исследований (НАЦАИ) Министерства образования и науки, в ведении которого находятся государственные научно-исследовательские учреждения, их опытные станции и хозяйства. Большая роль в проведении государственного контроля рационального использования и охраны земель отводится Министерству экологии и природных ресурсов, его комитету лесного хозяйства, которые непосредственно, в силу своих правомочий и задач должны постоянно и непосредственно проводить работу по управлению земельным фондом. При этом Комитет лесного и охотничьего хозяйства, в ведении подведомственных ему организаций и предприятий находятся земли лесного фонда, полностью несет функции по охране и рациональному использованию этих земель. Другие министерства и ведомства, в управлении которых находятся землепользователи, обязаны контролировать выполнение ими требований земельного и природоохранного законодательства.</w:t>
            </w:r>
          </w:p>
          <w:p w:rsidR="0057750C" w:rsidRDefault="0057750C" w:rsidP="0057750C">
            <w:pPr>
              <w:jc w:val="both"/>
              <w:rPr>
                <w:rFonts w:ascii="Times New Roman" w:hAnsi="Times New Roman" w:cs="Times New Roman"/>
                <w:sz w:val="28"/>
                <w:szCs w:val="28"/>
              </w:rPr>
            </w:pPr>
          </w:p>
          <w:p w:rsidR="0057750C" w:rsidRPr="00395482" w:rsidRDefault="0057750C" w:rsidP="0057750C">
            <w:pPr>
              <w:jc w:val="both"/>
              <w:rPr>
                <w:rFonts w:ascii="Times New Roman" w:hAnsi="Times New Roman" w:cs="Times New Roman"/>
                <w:sz w:val="28"/>
                <w:szCs w:val="28"/>
              </w:rPr>
            </w:pPr>
          </w:p>
        </w:tc>
      </w:tr>
    </w:tbl>
    <w:p w:rsidR="0057750C" w:rsidRPr="00395482" w:rsidRDefault="00395482" w:rsidP="0057750C">
      <w:pPr>
        <w:jc w:val="both"/>
        <w:rPr>
          <w:rFonts w:ascii="Times New Roman" w:hAnsi="Times New Roman" w:cs="Times New Roman"/>
          <w:sz w:val="28"/>
          <w:szCs w:val="28"/>
        </w:rPr>
      </w:pPr>
      <w:r w:rsidRPr="00395482">
        <w:rPr>
          <w:rFonts w:ascii="Times New Roman" w:hAnsi="Times New Roman" w:cs="Times New Roman"/>
          <w:sz w:val="28"/>
          <w:szCs w:val="28"/>
        </w:rPr>
        <w:lastRenderedPageBreak/>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55"/>
      </w:tblGrid>
      <w:tr w:rsidR="0057750C" w:rsidRPr="0057750C" w:rsidTr="0057750C">
        <w:trPr>
          <w:tblCellSpacing w:w="15" w:type="dxa"/>
        </w:trPr>
        <w:tc>
          <w:tcPr>
            <w:tcW w:w="0" w:type="auto"/>
            <w:hideMark/>
          </w:tcPr>
          <w:p w:rsidR="0057750C" w:rsidRPr="0057750C" w:rsidRDefault="0057750C" w:rsidP="0057750C">
            <w:pPr>
              <w:ind w:firstLine="661"/>
              <w:jc w:val="both"/>
              <w:rPr>
                <w:rFonts w:ascii="Times New Roman" w:hAnsi="Times New Roman" w:cs="Times New Roman"/>
                <w:b/>
                <w:bCs/>
                <w:sz w:val="28"/>
                <w:szCs w:val="28"/>
              </w:rPr>
            </w:pPr>
            <w:r w:rsidRPr="0057750C">
              <w:rPr>
                <w:rFonts w:ascii="Times New Roman" w:hAnsi="Times New Roman" w:cs="Times New Roman"/>
                <w:b/>
                <w:bCs/>
                <w:sz w:val="28"/>
                <w:szCs w:val="28"/>
              </w:rPr>
              <w:t>Структура органов управления земельными ресурсами</w:t>
            </w:r>
            <w:r>
              <w:rPr>
                <w:rFonts w:ascii="Times New Roman" w:hAnsi="Times New Roman" w:cs="Times New Roman"/>
                <w:b/>
                <w:bCs/>
                <w:sz w:val="28"/>
                <w:szCs w:val="28"/>
              </w:rPr>
              <w:t xml:space="preserve"> в России</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Управление земельными ресурсами охватывает весь спектр общественных отношений - от социального до экономического, правового, экологического и других видов управления. Поэтому управление земельными ресурсами - сложно организованная система.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Управление осуществляют многими методами и средствами, оно является предметом изучения многих наук и включает следующие аспекты: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политический, обеспечивающий выполнение социально-политических, экономических и экологических задач государства по рациональному использованию земельных ресурсов;</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административно-управленческий, связанный с формированием системы государственных и муниципальных органов управления земельными ресурсами, разграничением их компетенций, организацией выполнения ими взаимосогласованных функций;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правовой, обеспечивающий рациональное использование и охрану земли на основании правовых норм, закрепленных в законодательных актах;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научный, связанный с разработкой научно обоснованных рекомендаций по управлению земельными ресурсами с учетом достижений научно- технического прогресса;</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экономический, определяющий условия эффективного использования земель;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внедренческий, связанный с разработкой и осуществлением экономических, социальных и иных рычагов, стимулов и мероприятий по рациональному использованию и охране земель.</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Управление земельными ресурсами - это систематическое, сознательное, целенаправленное воздействие государства и общества на земельные ресурсы. Основу системы управления земельными ресурсами составляют объект, субъект, предмет, цель, задачи и функции управления.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Объектом управления является весь земельный фонд Российской Федерации, ее субъектов, административного района, города и других муниципальных образований, земельные участки отдельных субъектов земельных отношений, отличающиеся по виду использования, правовому статусу, а также земельные участки общего пользования.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Субъекты управления подразделяют на субъекты, осуществляющие государственное, местное и внутрихозяйственное управление, начиная от государства как субъекта земельных отношений и завершая конкретным юридическим лицом или гражданином.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Государственное управление может быть подразделено на общее и ведомственное (отраслевое) управление (рисунок 2.). Общее государственное управление осуществляют государственные органы общей и специальной компетенции, и оно имеет территориальный характер.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noProof/>
                <w:sz w:val="28"/>
                <w:szCs w:val="28"/>
                <w:lang w:eastAsia="ru-RU"/>
              </w:rPr>
              <w:drawing>
                <wp:inline distT="0" distB="0" distL="0" distR="0">
                  <wp:extent cx="3467100" cy="3870960"/>
                  <wp:effectExtent l="0" t="0" r="0" b="0"/>
                  <wp:docPr id="2" name="Рисунок 2" descr="Виды управления земельными ресурс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иды управления земельными ресурсами"/>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7100" cy="3870960"/>
                          </a:xfrm>
                          <a:prstGeom prst="rect">
                            <a:avLst/>
                          </a:prstGeom>
                          <a:noFill/>
                          <a:ln>
                            <a:noFill/>
                          </a:ln>
                        </pic:spPr>
                      </pic:pic>
                    </a:graphicData>
                  </a:graphic>
                </wp:inline>
              </w:drawing>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Рисунок 2. Виды управления земельными ресурсами</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Оно распространяется на все земли в пределах определенной территории (РФ в целом, области, административные районы, города) независимо от категории земель и субъектов права на земельный участок. Ведомственное (отраслевое) управление землями, осуществляемое министерствами, комитетами, федеральными службами, строится по принципу подведомственности предприятий, организаций, которым предоставлены земли. Этот вид управления не зависит от территориального размещения ведомственных земель.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Особенность ведомственного управления - некомпактное расположение земельных ресурсов конкретного министерства, госкомитета или федеральной службы (например, Министерство природных ресурсов РФ).</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Местное управление возложено на органы самоуправления, и оно </w:t>
            </w:r>
            <w:proofErr w:type="gramStart"/>
            <w:r w:rsidRPr="0057750C">
              <w:rPr>
                <w:rFonts w:ascii="Times New Roman" w:hAnsi="Times New Roman" w:cs="Times New Roman"/>
                <w:sz w:val="28"/>
                <w:szCs w:val="28"/>
              </w:rPr>
              <w:t>может быть</w:t>
            </w:r>
            <w:proofErr w:type="gramEnd"/>
            <w:r w:rsidRPr="0057750C">
              <w:rPr>
                <w:rFonts w:ascii="Times New Roman" w:hAnsi="Times New Roman" w:cs="Times New Roman"/>
                <w:sz w:val="28"/>
                <w:szCs w:val="28"/>
              </w:rPr>
              <w:t xml:space="preserve"> как общим, так и специальным. Местное (муниципальное) управление предусматривают на территории муниципальных образований (административные районы, города и иные поселения, сельские округа) в пределах законодательных норм. Внутрихозяйственное управление землями осуществляют сами собственники, владельцы и пользователи земельными участками.</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Предметом управления являются процессы организации использования земли, которая в пределах определенной территории обеспечивает все многообразие потребностей жителей. Многообразие потребностей приводит к многообразию способов использования земель, подлежащих управлению.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Основная цель управления земельными ресурсами - обеспечить удовлетворение потребностей общества на основе использования свойств земли. Цель отражает перспективное состояние земельных ресурсов и процесс их использования. Основная цель достигается путем постановки частных целей управления земельными ресурсами, таких, как рациональное, эффективное использование и охрана земель. Эти цели обеспечивают охрану прав государства, муниципальных образований, юридических лиц и граждан на землю, воспроизводство плодородия почв, сохранение и улучшение окружающей среды, создание условий равноправного развития различных форм хозяйствования на земле, формирование и развитие земельного рынка.</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К основным задачам государственного управления земельными ресурсами можно отнести: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наделение органов управления политическими и организационно - регламентирующими функциями, обеспечивающими эффективное развитие общества;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обеспечение взаимосогласованности решений органов государственного управления;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регулирование государственными актами финансовой и природоохранной деятельности субъектов земельных отношений;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обеспечение социально-правовой защиты субъектов земельных отношений;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формирование благоприятных условий для предпринимательства и прогрессивного развития общества;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улучшение использования и охраны земельных ресурсов; </w:t>
            </w:r>
          </w:p>
          <w:p w:rsidR="0057750C" w:rsidRPr="0057750C" w:rsidRDefault="0057750C" w:rsidP="00975E6B">
            <w:pPr>
              <w:jc w:val="both"/>
              <w:rPr>
                <w:rFonts w:ascii="Times New Roman" w:hAnsi="Times New Roman" w:cs="Times New Roman"/>
                <w:sz w:val="28"/>
                <w:szCs w:val="28"/>
              </w:rPr>
            </w:pPr>
            <w:r w:rsidRPr="0057750C">
              <w:rPr>
                <w:rFonts w:ascii="Times New Roman" w:hAnsi="Times New Roman" w:cs="Times New Roman"/>
                <w:sz w:val="28"/>
                <w:szCs w:val="28"/>
              </w:rPr>
              <w:t xml:space="preserve">- создание правовых, экономических и организационных предпосылок для различных форм хозяйствования на земле. </w:t>
            </w:r>
          </w:p>
          <w:p w:rsidR="0057750C" w:rsidRPr="0057750C" w:rsidRDefault="0057750C" w:rsidP="00975E6B">
            <w:pPr>
              <w:ind w:firstLine="519"/>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В процессе управления земельными ресурсами вышеуказанные задачи реализуются через конкретные мероприятия или функции. Управление земельными ресурсами - это также совокупность функций системы управления, направленная на рациональное использование земельных ресурсов. Следует учитывать, что управляют земельными ресурсами по двум направлениям: прямому и опосредованному. Систему прямого управления земельными ресурсами подразделяют на следующие виды функций: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общие функции, включающие планирование, организацию, координацию, регулирование, распоряжение, учет и контроль. При осуществлении этих функций происходят распоряжение трудовыми, материальными и денежными ресурсами, оперативное управление землеустроительным и земельно-кадастровым производством;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специальные, обеспечивающие организационное воздействие на специальные стороны деятельности предприятий (технологическая подготовка и т. д.);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вспомогательные, включающие обслуживающие процессы общего и специального управления (делопроизводство, хозяйственное обслуживание, охрана). </w:t>
            </w:r>
          </w:p>
          <w:p w:rsidR="0057750C" w:rsidRPr="0057750C" w:rsidRDefault="0057750C" w:rsidP="00975E6B">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При опосредованном управлении к числу функций относятся изучение земельных отношений, состояния земельного законодательства и их мониторинг, разработка и принятие законодательных актов (законов, решений, постановлений) и нормативов использования земли, реализация мероприятий по изменению системы землепользования, предусмотренных в законодательных актах, совершенствование землепользования, зонирования территории, нормирования использования земли, государственный контроль за соблюдением земельного законодательства, разрешение земельных споров, связанных с введением и функционированием земельного законодательства и нормативов использования земли.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Управленческие решения по управлению земельными ресурсами - это решения, принимаемые в процессе управления земельными ресурсами. Основные этапы принятия решения по управлению земельными ресурсами следующие: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постановка задачи;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поиск информации;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определение объекта управления и связанных с ним структур;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определение круга пользователей;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 определение запросов землепользователей;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исследование поведения потребителей предполагаемого управленческого решения и действия;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накопление, систематизация и анализ данных об объекте управления;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расчет возможной эффективности;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осуществление пилот-проекта;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расчет фактической эффективности или ее моделирование;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выбор варианта и принятие управленческого решения. </w:t>
            </w:r>
          </w:p>
          <w:p w:rsidR="0057750C" w:rsidRPr="0057750C" w:rsidRDefault="0057750C" w:rsidP="0057750C">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Определяющими этапами являются постановка задачи и принятие управленского решения. Реализуют управленческие решения с помощью директивного, правового, экономического методов. При УЗР необходимо применять все методы на каждом территориальном уровне. Административный (директивный) метод связан с принятием и реализацией непосредственных управленческих решений-директив. Этот метод основан на реализации государством своих функций по управлению, отраженных в законодательстве. Это акты прямого действия: изъятие, отвод, зонирование, мероприятия по изучению земель и их реализация. </w:t>
            </w:r>
          </w:p>
          <w:p w:rsidR="0057750C" w:rsidRPr="0057750C" w:rsidRDefault="0057750C" w:rsidP="001A18EA">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Правовой метод проявляется при опосредованном управлении, когда создаваемое законодательство и нормативы использования земель вынуждают субъектов земельных отношений принимать нужные государству решения. </w:t>
            </w:r>
          </w:p>
          <w:p w:rsidR="0057750C" w:rsidRPr="0057750C" w:rsidRDefault="0057750C" w:rsidP="001A18EA">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Экономический метод предполагает создание экономических стимулов и показателей, обеспечивающих реализацию государственной политики в области землепользования. </w:t>
            </w:r>
          </w:p>
          <w:p w:rsidR="0057750C" w:rsidRPr="0057750C" w:rsidRDefault="0057750C" w:rsidP="00975E6B">
            <w:pPr>
              <w:ind w:firstLine="519"/>
              <w:jc w:val="both"/>
              <w:rPr>
                <w:rFonts w:ascii="Times New Roman" w:hAnsi="Times New Roman" w:cs="Times New Roman"/>
                <w:sz w:val="28"/>
                <w:szCs w:val="28"/>
              </w:rPr>
            </w:pPr>
            <w:bookmarkStart w:id="0" w:name="_GoBack"/>
            <w:bookmarkEnd w:id="0"/>
            <w:r w:rsidRPr="0057750C">
              <w:rPr>
                <w:rFonts w:ascii="Times New Roman" w:hAnsi="Times New Roman" w:cs="Times New Roman"/>
                <w:sz w:val="28"/>
                <w:szCs w:val="28"/>
              </w:rPr>
              <w:t xml:space="preserve">Принципы управления земельными ресурсами можно разделить на общие и частные. К общим принципам относят: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1) приоритет государственного управления земельными ресурсами;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2) дифференцированный подход к управлению землями разных категорий и регионов;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3) принцип рационального использования земель;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4) единство управления земельными ресурсами и управления территориями;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5) организационная согласованность использования земель и управления территориями;</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lastRenderedPageBreak/>
              <w:t>6) систематическое совершенствование функций и методов управления земельными ресурсами;</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7) экономически эффективное сочетание государственного, регионального и муниципального управления земельными ресурсами;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8) разграничение функций по управлению ресурсами между органами исполнительной и представительной власти одного административно - территориального уровня;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9) разделение функций между различными ведомствами на федеральном, региональном и муниципальном уровнях;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10) правовая обеспеченность управления земельными ресурсами;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11) принцип организационного и экономически рационального соотношения централизации и децентрализации. </w:t>
            </w:r>
          </w:p>
          <w:p w:rsidR="0057750C" w:rsidRPr="0057750C" w:rsidRDefault="0057750C" w:rsidP="001A18EA">
            <w:pPr>
              <w:ind w:firstLine="519"/>
              <w:jc w:val="both"/>
              <w:rPr>
                <w:rFonts w:ascii="Times New Roman" w:hAnsi="Times New Roman" w:cs="Times New Roman"/>
                <w:sz w:val="28"/>
                <w:szCs w:val="28"/>
              </w:rPr>
            </w:pPr>
            <w:r w:rsidRPr="0057750C">
              <w:rPr>
                <w:rFonts w:ascii="Times New Roman" w:hAnsi="Times New Roman" w:cs="Times New Roman"/>
                <w:sz w:val="28"/>
                <w:szCs w:val="28"/>
              </w:rPr>
              <w:t xml:space="preserve">К частным принципам управления земельными ресурсами можно отнести: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принцип организационной, финансовой и кадровой обеспеченности системы управления земельными ресурсами, который подразумевает наличие специальных органов управления земельными ресурсами с оптимальной численностью и финансированием, особенно для муниципального уровня, проводящих основной объем работ по управлению земельными ресурсами. Это обеспечит качественное проведение работ определенных видов на конкретных территориях, в которых заинтересовано государство;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принцип управляемости предполагает рациональное соотношение управленческих и управляемых структур, их штатной численности, рациональную степень загрузки структур, принимающих решения и обеспечивающих их выполнение;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принцип соответствия субъекта и объекта заключается в том, что структура субъекта управления должна формироваться, исходя из особенностей земельных ресурсов (страны, региона, города и т.д.) как объекта управления. Состав органов управления, взаимосвязь между ними определяются спецификой функционирования как отдельных структур звеньев управления, так и системы в целом;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xml:space="preserve">- принцип изменяемости - это способность органов управления земельными ресурсами на основе требований гибкости и адаптивности учитывать изменения внешних и внутренних экономических, социальных, правовых и иных условий;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 принцип специализации заключается в том, что формирование структуры и органов управления должно обеспечить технологическое разделение процессов управления при одновременном сокращении числа уровней управления и объединении управленческих работ с повторяющимися операциями, однородностью приемов и методов их выполнения (плановые, бухгалтерские, учетные и т.д.); </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принцип иерархичности предполагает необходимость создания структуры управления с учетом обязательности выполнения решений и постановлений вышестоящих структур нижестоящими органами;</w:t>
            </w:r>
          </w:p>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t>- принцип экономичности заключается в том, что планируемый эффект должен достигаться при минимально возможных затратах на управленческий аппарат, экономном использовании трудовых, материальных и финансовых ресурсов производства.</w:t>
            </w:r>
          </w:p>
        </w:tc>
      </w:tr>
    </w:tbl>
    <w:p w:rsidR="0057750C" w:rsidRPr="0057750C" w:rsidRDefault="0057750C" w:rsidP="0057750C">
      <w:pPr>
        <w:jc w:val="both"/>
        <w:rPr>
          <w:rFonts w:ascii="Times New Roman" w:hAnsi="Times New Roman" w:cs="Times New Roman"/>
          <w:sz w:val="28"/>
          <w:szCs w:val="28"/>
        </w:rPr>
      </w:pPr>
      <w:r w:rsidRPr="0057750C">
        <w:rPr>
          <w:rFonts w:ascii="Times New Roman" w:hAnsi="Times New Roman" w:cs="Times New Roman"/>
          <w:sz w:val="28"/>
          <w:szCs w:val="28"/>
        </w:rPr>
        <w:lastRenderedPageBreak/>
        <w:t xml:space="preserve">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1"/>
        <w:gridCol w:w="270"/>
        <w:gridCol w:w="66"/>
        <w:gridCol w:w="270"/>
        <w:gridCol w:w="81"/>
      </w:tblGrid>
      <w:tr w:rsidR="0057750C" w:rsidRPr="0057750C" w:rsidTr="0057750C">
        <w:trPr>
          <w:tblCellSpacing w:w="15" w:type="dxa"/>
          <w:jc w:val="center"/>
        </w:trPr>
        <w:tc>
          <w:tcPr>
            <w:tcW w:w="0" w:type="auto"/>
            <w:vAlign w:val="center"/>
          </w:tcPr>
          <w:p w:rsidR="0057750C" w:rsidRPr="0057750C" w:rsidRDefault="0057750C" w:rsidP="0057750C">
            <w:pPr>
              <w:jc w:val="both"/>
              <w:rPr>
                <w:rFonts w:ascii="Times New Roman" w:hAnsi="Times New Roman" w:cs="Times New Roman"/>
                <w:b/>
                <w:bCs/>
                <w:sz w:val="28"/>
                <w:szCs w:val="28"/>
              </w:rPr>
            </w:pPr>
          </w:p>
        </w:tc>
        <w:tc>
          <w:tcPr>
            <w:tcW w:w="240" w:type="dxa"/>
            <w:vAlign w:val="center"/>
          </w:tcPr>
          <w:p w:rsidR="0057750C" w:rsidRPr="0057750C" w:rsidRDefault="0057750C" w:rsidP="0057750C">
            <w:pPr>
              <w:jc w:val="both"/>
              <w:rPr>
                <w:rFonts w:ascii="Times New Roman" w:hAnsi="Times New Roman" w:cs="Times New Roman"/>
                <w:sz w:val="28"/>
                <w:szCs w:val="28"/>
              </w:rPr>
            </w:pPr>
          </w:p>
        </w:tc>
        <w:tc>
          <w:tcPr>
            <w:tcW w:w="0" w:type="auto"/>
            <w:vAlign w:val="center"/>
          </w:tcPr>
          <w:p w:rsidR="0057750C" w:rsidRPr="0057750C" w:rsidRDefault="0057750C" w:rsidP="0057750C">
            <w:pPr>
              <w:jc w:val="both"/>
              <w:rPr>
                <w:rFonts w:ascii="Times New Roman" w:hAnsi="Times New Roman" w:cs="Times New Roman"/>
                <w:b/>
                <w:bCs/>
                <w:sz w:val="28"/>
                <w:szCs w:val="28"/>
              </w:rPr>
            </w:pPr>
          </w:p>
        </w:tc>
        <w:tc>
          <w:tcPr>
            <w:tcW w:w="240" w:type="dxa"/>
            <w:vAlign w:val="center"/>
          </w:tcPr>
          <w:p w:rsidR="0057750C" w:rsidRPr="0057750C" w:rsidRDefault="0057750C" w:rsidP="0057750C">
            <w:pPr>
              <w:jc w:val="both"/>
              <w:rPr>
                <w:rFonts w:ascii="Times New Roman" w:hAnsi="Times New Roman" w:cs="Times New Roman"/>
                <w:sz w:val="28"/>
                <w:szCs w:val="28"/>
              </w:rPr>
            </w:pPr>
          </w:p>
        </w:tc>
        <w:tc>
          <w:tcPr>
            <w:tcW w:w="0" w:type="auto"/>
            <w:vAlign w:val="center"/>
          </w:tcPr>
          <w:p w:rsidR="0057750C" w:rsidRPr="0057750C" w:rsidRDefault="0057750C" w:rsidP="0057750C">
            <w:pPr>
              <w:jc w:val="both"/>
              <w:rPr>
                <w:rFonts w:ascii="Times New Roman" w:hAnsi="Times New Roman" w:cs="Times New Roman"/>
                <w:b/>
                <w:bCs/>
                <w:sz w:val="28"/>
                <w:szCs w:val="28"/>
              </w:rPr>
            </w:pPr>
          </w:p>
        </w:tc>
      </w:tr>
    </w:tbl>
    <w:p w:rsidR="00395482" w:rsidRPr="00395482" w:rsidRDefault="00395482" w:rsidP="0057750C">
      <w:pPr>
        <w:jc w:val="both"/>
        <w:rPr>
          <w:rFonts w:ascii="Times New Roman" w:hAnsi="Times New Roman" w:cs="Times New Roman"/>
          <w:sz w:val="28"/>
          <w:szCs w:val="28"/>
        </w:rPr>
      </w:pPr>
    </w:p>
    <w:sectPr w:rsidR="00395482" w:rsidRPr="003954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2341C"/>
    <w:multiLevelType w:val="multilevel"/>
    <w:tmpl w:val="89502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58C"/>
    <w:rsid w:val="000D24FA"/>
    <w:rsid w:val="001A18EA"/>
    <w:rsid w:val="001A3664"/>
    <w:rsid w:val="001C0CE9"/>
    <w:rsid w:val="002D4AD6"/>
    <w:rsid w:val="00395482"/>
    <w:rsid w:val="005479B8"/>
    <w:rsid w:val="0057750C"/>
    <w:rsid w:val="00607404"/>
    <w:rsid w:val="00614659"/>
    <w:rsid w:val="0064259F"/>
    <w:rsid w:val="0072358C"/>
    <w:rsid w:val="007E5433"/>
    <w:rsid w:val="00975E6B"/>
    <w:rsid w:val="00A43889"/>
    <w:rsid w:val="00C706B1"/>
    <w:rsid w:val="00D91DA8"/>
    <w:rsid w:val="00FA7F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1B0ED"/>
  <w15:chartTrackingRefBased/>
  <w15:docId w15:val="{308F4EB6-0C8A-44DA-9B3A-7CFF68DE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24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106552">
      <w:bodyDiv w:val="1"/>
      <w:marLeft w:val="0"/>
      <w:marRight w:val="0"/>
      <w:marTop w:val="0"/>
      <w:marBottom w:val="0"/>
      <w:divBdr>
        <w:top w:val="none" w:sz="0" w:space="0" w:color="auto"/>
        <w:left w:val="none" w:sz="0" w:space="0" w:color="auto"/>
        <w:bottom w:val="none" w:sz="0" w:space="0" w:color="auto"/>
        <w:right w:val="none" w:sz="0" w:space="0" w:color="auto"/>
      </w:divBdr>
    </w:div>
    <w:div w:id="888497234">
      <w:bodyDiv w:val="1"/>
      <w:marLeft w:val="0"/>
      <w:marRight w:val="0"/>
      <w:marTop w:val="0"/>
      <w:marBottom w:val="0"/>
      <w:divBdr>
        <w:top w:val="none" w:sz="0" w:space="0" w:color="auto"/>
        <w:left w:val="none" w:sz="0" w:space="0" w:color="auto"/>
        <w:bottom w:val="none" w:sz="0" w:space="0" w:color="auto"/>
        <w:right w:val="none" w:sz="0" w:space="0" w:color="auto"/>
      </w:divBdr>
      <w:divsChild>
        <w:div w:id="1968508161">
          <w:marLeft w:val="0"/>
          <w:marRight w:val="0"/>
          <w:marTop w:val="0"/>
          <w:marBottom w:val="0"/>
          <w:divBdr>
            <w:top w:val="none" w:sz="0" w:space="0" w:color="auto"/>
            <w:left w:val="none" w:sz="0" w:space="0" w:color="auto"/>
            <w:bottom w:val="none" w:sz="0" w:space="0" w:color="auto"/>
            <w:right w:val="none" w:sz="0" w:space="0" w:color="auto"/>
          </w:divBdr>
          <w:divsChild>
            <w:div w:id="769667655">
              <w:marLeft w:val="0"/>
              <w:marRight w:val="0"/>
              <w:marTop w:val="0"/>
              <w:marBottom w:val="0"/>
              <w:divBdr>
                <w:top w:val="none" w:sz="0" w:space="0" w:color="auto"/>
                <w:left w:val="none" w:sz="0" w:space="0" w:color="auto"/>
                <w:bottom w:val="none" w:sz="0" w:space="0" w:color="auto"/>
                <w:right w:val="none" w:sz="0" w:space="0" w:color="auto"/>
              </w:divBdr>
              <w:divsChild>
                <w:div w:id="997735249">
                  <w:marLeft w:val="0"/>
                  <w:marRight w:val="0"/>
                  <w:marTop w:val="0"/>
                  <w:marBottom w:val="0"/>
                  <w:divBdr>
                    <w:top w:val="none" w:sz="0" w:space="0" w:color="auto"/>
                    <w:left w:val="none" w:sz="0" w:space="0" w:color="auto"/>
                    <w:bottom w:val="none" w:sz="0" w:space="0" w:color="auto"/>
                    <w:right w:val="none" w:sz="0" w:space="0" w:color="auto"/>
                  </w:divBdr>
                  <w:divsChild>
                    <w:div w:id="140595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08709">
              <w:marLeft w:val="0"/>
              <w:marRight w:val="0"/>
              <w:marTop w:val="0"/>
              <w:marBottom w:val="0"/>
              <w:divBdr>
                <w:top w:val="none" w:sz="0" w:space="0" w:color="auto"/>
                <w:left w:val="none" w:sz="0" w:space="0" w:color="auto"/>
                <w:bottom w:val="none" w:sz="0" w:space="0" w:color="auto"/>
                <w:right w:val="none" w:sz="0" w:space="0" w:color="auto"/>
              </w:divBdr>
              <w:divsChild>
                <w:div w:id="118377229">
                  <w:marLeft w:val="0"/>
                  <w:marRight w:val="0"/>
                  <w:marTop w:val="0"/>
                  <w:marBottom w:val="0"/>
                  <w:divBdr>
                    <w:top w:val="none" w:sz="0" w:space="0" w:color="auto"/>
                    <w:left w:val="none" w:sz="0" w:space="0" w:color="auto"/>
                    <w:bottom w:val="none" w:sz="0" w:space="0" w:color="auto"/>
                    <w:right w:val="none" w:sz="0" w:space="0" w:color="auto"/>
                  </w:divBdr>
                  <w:divsChild>
                    <w:div w:id="1800606288">
                      <w:marLeft w:val="0"/>
                      <w:marRight w:val="0"/>
                      <w:marTop w:val="0"/>
                      <w:marBottom w:val="0"/>
                      <w:divBdr>
                        <w:top w:val="none" w:sz="0" w:space="0" w:color="auto"/>
                        <w:left w:val="none" w:sz="0" w:space="0" w:color="auto"/>
                        <w:bottom w:val="none" w:sz="0" w:space="0" w:color="auto"/>
                        <w:right w:val="none" w:sz="0" w:space="0" w:color="auto"/>
                      </w:divBdr>
                      <w:divsChild>
                        <w:div w:id="1089933545">
                          <w:marLeft w:val="0"/>
                          <w:marRight w:val="0"/>
                          <w:marTop w:val="0"/>
                          <w:marBottom w:val="0"/>
                          <w:divBdr>
                            <w:top w:val="none" w:sz="0" w:space="0" w:color="auto"/>
                            <w:left w:val="none" w:sz="0" w:space="0" w:color="auto"/>
                            <w:bottom w:val="none" w:sz="0" w:space="0" w:color="auto"/>
                            <w:right w:val="none" w:sz="0" w:space="0" w:color="auto"/>
                          </w:divBdr>
                        </w:div>
                        <w:div w:id="1194462995">
                          <w:marLeft w:val="0"/>
                          <w:marRight w:val="0"/>
                          <w:marTop w:val="0"/>
                          <w:marBottom w:val="0"/>
                          <w:divBdr>
                            <w:top w:val="none" w:sz="0" w:space="0" w:color="auto"/>
                            <w:left w:val="none" w:sz="0" w:space="0" w:color="auto"/>
                            <w:bottom w:val="none" w:sz="0" w:space="0" w:color="auto"/>
                            <w:right w:val="none" w:sz="0" w:space="0" w:color="auto"/>
                          </w:divBdr>
                          <w:divsChild>
                            <w:div w:id="109323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535358">
              <w:marLeft w:val="0"/>
              <w:marRight w:val="0"/>
              <w:marTop w:val="0"/>
              <w:marBottom w:val="0"/>
              <w:divBdr>
                <w:top w:val="none" w:sz="0" w:space="0" w:color="auto"/>
                <w:left w:val="none" w:sz="0" w:space="0" w:color="auto"/>
                <w:bottom w:val="none" w:sz="0" w:space="0" w:color="auto"/>
                <w:right w:val="none" w:sz="0" w:space="0" w:color="auto"/>
              </w:divBdr>
            </w:div>
          </w:divsChild>
        </w:div>
        <w:div w:id="1751613313">
          <w:marLeft w:val="0"/>
          <w:marRight w:val="0"/>
          <w:marTop w:val="0"/>
          <w:marBottom w:val="0"/>
          <w:divBdr>
            <w:top w:val="none" w:sz="0" w:space="0" w:color="auto"/>
            <w:left w:val="none" w:sz="0" w:space="0" w:color="auto"/>
            <w:bottom w:val="none" w:sz="0" w:space="0" w:color="auto"/>
            <w:right w:val="none" w:sz="0" w:space="0" w:color="auto"/>
          </w:divBdr>
          <w:divsChild>
            <w:div w:id="381953333">
              <w:marLeft w:val="0"/>
              <w:marRight w:val="0"/>
              <w:marTop w:val="0"/>
              <w:marBottom w:val="0"/>
              <w:divBdr>
                <w:top w:val="none" w:sz="0" w:space="0" w:color="auto"/>
                <w:left w:val="none" w:sz="0" w:space="0" w:color="auto"/>
                <w:bottom w:val="none" w:sz="0" w:space="0" w:color="auto"/>
                <w:right w:val="none" w:sz="0" w:space="0" w:color="auto"/>
              </w:divBdr>
              <w:divsChild>
                <w:div w:id="2100976320">
                  <w:marLeft w:val="0"/>
                  <w:marRight w:val="0"/>
                  <w:marTop w:val="0"/>
                  <w:marBottom w:val="0"/>
                  <w:divBdr>
                    <w:top w:val="none" w:sz="0" w:space="0" w:color="auto"/>
                    <w:left w:val="none" w:sz="0" w:space="0" w:color="auto"/>
                    <w:bottom w:val="none" w:sz="0" w:space="0" w:color="auto"/>
                    <w:right w:val="none" w:sz="0" w:space="0" w:color="auto"/>
                  </w:divBdr>
                  <w:divsChild>
                    <w:div w:id="1319190853">
                      <w:marLeft w:val="0"/>
                      <w:marRight w:val="0"/>
                      <w:marTop w:val="0"/>
                      <w:marBottom w:val="0"/>
                      <w:divBdr>
                        <w:top w:val="none" w:sz="0" w:space="0" w:color="auto"/>
                        <w:left w:val="none" w:sz="0" w:space="0" w:color="auto"/>
                        <w:bottom w:val="none" w:sz="0" w:space="0" w:color="auto"/>
                        <w:right w:val="none" w:sz="0" w:space="0" w:color="auto"/>
                      </w:divBdr>
                      <w:divsChild>
                        <w:div w:id="294485670">
                          <w:marLeft w:val="0"/>
                          <w:marRight w:val="0"/>
                          <w:marTop w:val="0"/>
                          <w:marBottom w:val="0"/>
                          <w:divBdr>
                            <w:top w:val="none" w:sz="0" w:space="0" w:color="auto"/>
                            <w:left w:val="none" w:sz="0" w:space="0" w:color="auto"/>
                            <w:bottom w:val="none" w:sz="0" w:space="0" w:color="auto"/>
                            <w:right w:val="none" w:sz="0" w:space="0" w:color="auto"/>
                          </w:divBdr>
                          <w:divsChild>
                            <w:div w:id="1751583378">
                              <w:marLeft w:val="0"/>
                              <w:marRight w:val="0"/>
                              <w:marTop w:val="0"/>
                              <w:marBottom w:val="0"/>
                              <w:divBdr>
                                <w:top w:val="none" w:sz="0" w:space="0" w:color="auto"/>
                                <w:left w:val="none" w:sz="0" w:space="0" w:color="auto"/>
                                <w:bottom w:val="none" w:sz="0" w:space="0" w:color="auto"/>
                                <w:right w:val="none" w:sz="0" w:space="0" w:color="auto"/>
                              </w:divBdr>
                              <w:divsChild>
                                <w:div w:id="1235239616">
                                  <w:marLeft w:val="0"/>
                                  <w:marRight w:val="0"/>
                                  <w:marTop w:val="0"/>
                                  <w:marBottom w:val="0"/>
                                  <w:divBdr>
                                    <w:top w:val="none" w:sz="0" w:space="0" w:color="auto"/>
                                    <w:left w:val="none" w:sz="0" w:space="0" w:color="auto"/>
                                    <w:bottom w:val="none" w:sz="0" w:space="0" w:color="auto"/>
                                    <w:right w:val="none" w:sz="0" w:space="0" w:color="auto"/>
                                  </w:divBdr>
                                  <w:divsChild>
                                    <w:div w:id="177651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981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14</Pages>
  <Words>3737</Words>
  <Characters>21302</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16</cp:revision>
  <dcterms:created xsi:type="dcterms:W3CDTF">2020-11-27T13:13:00Z</dcterms:created>
  <dcterms:modified xsi:type="dcterms:W3CDTF">2020-11-27T15:14:00Z</dcterms:modified>
</cp:coreProperties>
</file>